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/>
          <w:b/>
          <w:sz w:val="28"/>
          <w:szCs w:val="28"/>
        </w:rPr>
        <w:t>12.3.2 SM.03.02勤工助学工资上报与审批流程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3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500"/>
        <w:gridCol w:w="2621"/>
        <w:gridCol w:w="645"/>
        <w:gridCol w:w="1782"/>
        <w:gridCol w:w="2391"/>
        <w:gridCol w:w="1616"/>
        <w:gridCol w:w="705"/>
        <w:gridCol w:w="2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学生管理—勤工助学管理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SM.03.02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勤工助学工资上报与审批流程概述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2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学生工作处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助学管理科</w:t>
            </w:r>
          </w:p>
        </w:tc>
        <w:tc>
          <w:tcPr>
            <w:tcW w:w="2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申杰飞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陈玉华</w:t>
            </w:r>
          </w:p>
        </w:tc>
        <w:tc>
          <w:tcPr>
            <w:tcW w:w="23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陈向荣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31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阐述学校勤工助学工资上报与审批管理流程，旨在规范学勤工助学管理行为，促进勤工助学活动健康、有序开展。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肇庆学院学生勤工助学管理办法（2021年修订）（肇学院〔2021〕44号）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学生勤工助学上班签到考勤表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XX部门勤工助学月度工资汇总表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X年X月勤工助学工资报酬发放明细表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31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 w:hAnsi="仿宋_GB2312" w:cs="仿宋_GB2312"/>
          <w:b/>
          <w:szCs w:val="24"/>
        </w:rPr>
      </w:pPr>
      <w:r>
        <w:rPr>
          <w:rFonts w:hint="eastAsia" w:ascii="仿宋_GB2312" w:hAnsi="仿宋_GB2312" w:cs="仿宋_GB2312"/>
          <w:b/>
          <w:szCs w:val="24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384.5pt;width:696.9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4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2021-12-02T01:37:04Z</dcterms:created>
  <dc:creator>Administrator</dc:creator>
  <cp:lastModifiedBy>白瑞</cp:lastModifiedBy>
  <dcterms:modified xsi:type="dcterms:W3CDTF">2021-12-02T01:37:19Z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0E4FAF8413114EDCB4C077BC449C64BC</vt:lpwstr>
  </property>
</Properties>
</file>