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12.4 SM.04_奖助学金管理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12.4.1 SM.04.01国家奖助学金申请与审批流程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910"/>
        <w:gridCol w:w="2189"/>
        <w:gridCol w:w="2353"/>
        <w:gridCol w:w="2353"/>
        <w:gridCol w:w="23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Cs w:val="24"/>
              </w:rPr>
              <w:t>学生管理—奖助学金管理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SM.04.01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szCs w:val="24"/>
              </w:rPr>
              <w:t>国家奖助学金申请与审批流程概述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9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1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3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学生工作处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助学管理科</w:t>
            </w:r>
          </w:p>
        </w:tc>
        <w:tc>
          <w:tcPr>
            <w:tcW w:w="21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申杰飞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陈玉华</w:t>
            </w:r>
          </w:p>
        </w:tc>
        <w:tc>
          <w:tcPr>
            <w:tcW w:w="23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陈向荣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阐述国家奖助学金申请与审批管理流程，旨在规范学生奖助学金评定与审批管理行为，激励广大学生刻苦学习，提高综合素质。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_GB2312" w:cs="仿宋_GB2312"/>
                <w:kern w:val="0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《肇庆学院本专科生国家奖学金实施办法》等三份文件的通知（肇学院〔2020〕58号）</w:t>
            </w:r>
          </w:p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国家奖助学金申请与审批表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国家奖助学金获奖人员名单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16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370.75pt;width:684.25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2021-12-02T01:37:50Z</dcterms:created>
  <dc:creator>Administrator</dc:creator>
  <cp:lastModifiedBy>白瑞</cp:lastModifiedBy>
  <dcterms:modified xsi:type="dcterms:W3CDTF">2021-12-02T01:38:09Z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060FA0FA7CBF45B7B63C073E7D13066A</vt:lpwstr>
  </property>
</Properties>
</file>